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06F22B9F"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13803933"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75C7421A"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783FE617" w:rsidR="00FD54D4" w:rsidRPr="001960CB" w:rsidRDefault="00FD54D4"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lastRenderedPageBreak/>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15DB5">
        <w:rPr>
          <w:rFonts w:ascii="Arial" w:hAnsi="Arial" w:cs="Arial"/>
          <w:sz w:val="22"/>
          <w:szCs w:val="22"/>
        </w:rPr>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 xml:space="preserve">-52. PMCID: </w:t>
      </w:r>
      <w:r w:rsidRPr="001960CB">
        <w:rPr>
          <w:rFonts w:ascii="Arial" w:hAnsi="Arial" w:cs="Arial"/>
          <w:sz w:val="22"/>
          <w:szCs w:val="22"/>
        </w:rPr>
        <w:t>PMC4581884.</w:t>
      </w:r>
    </w:p>
    <w:p w14:paraId="63E3A6E2" w14:textId="666414FC"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PMID: 25441923. PMCID:  PMC4346498.</w:t>
      </w:r>
    </w:p>
    <w:p w14:paraId="2D4FE3B5" w14:textId="3C928BB8" w:rsidR="007117BB" w:rsidRPr="001960CB" w:rsidRDefault="007117BB"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lastRenderedPageBreak/>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5D06D427"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7C76EA9B"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79132E59"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Higgins ST, Heil SH. Continuing efforts to improve cessation outcomes with pregnant cigarette smokers. Addiction. 2015;110(4):690-692. PMCID:  PMC4412735.</w:t>
      </w:r>
    </w:p>
    <w:p w14:paraId="6A0DFE26" w14:textId="6FE5F7DA" w:rsidR="007117BB"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-100. PMCID:  PMC4592404.</w:t>
      </w:r>
    </w:p>
    <w:p w14:paraId="6807DB74" w14:textId="64625935"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3055313B"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4F4E8145"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lastRenderedPageBreak/>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4B10B4C6"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 PMCID:  PMC4592374.</w:t>
      </w:r>
    </w:p>
    <w:p w14:paraId="3D8D8303" w14:textId="77777777" w:rsidR="00E63CC1" w:rsidRPr="008215D7"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5DABD192"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2393B811"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4DDE2472"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7777777" w:rsidR="006A7C60" w:rsidRPr="008215D7"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1CCC320B" w:rsidR="006A7C60" w:rsidRPr="001960CB" w:rsidRDefault="006A7C60"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3C21A69F" w:rsidR="00E63CC1" w:rsidRPr="001960CB" w:rsidRDefault="00E63CC1"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lastRenderedPageBreak/>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7201EE7C"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4F270B40"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738D81FE"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580CACBD" w14:textId="77777777" w:rsidR="00FD6B02" w:rsidRPr="008215D7"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Nicotine </w:t>
      </w:r>
      <w:proofErr w:type="spellStart"/>
      <w:r w:rsidRPr="008215D7">
        <w:rPr>
          <w:rFonts w:ascii="Arial" w:hAnsi="Arial" w:cs="Arial"/>
          <w:sz w:val="22"/>
          <w:szCs w:val="22"/>
        </w:rPr>
        <w:t>Tob</w:t>
      </w:r>
      <w:proofErr w:type="spellEnd"/>
      <w:r w:rsidRPr="008215D7">
        <w:rPr>
          <w:rFonts w:ascii="Arial" w:hAnsi="Arial" w:cs="Arial"/>
          <w:sz w:val="22"/>
          <w:szCs w:val="22"/>
        </w:rPr>
        <w:t xml:space="preserve"> Res. 2016. PMID: 27613929.</w:t>
      </w:r>
    </w:p>
    <w:p w14:paraId="42262AE9" w14:textId="404737C3"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changes after a diagnosis of ductal carcinoma in situ. Cancer Epidemiol Biomarkers Prev. 2016;25(1):76-82. PMCID:  PMC4713311.</w:t>
      </w:r>
    </w:p>
    <w:p w14:paraId="7D0FE078" w14:textId="4A33B9D1"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9A6F34D"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w:t>
      </w:r>
      <w:r w:rsidRPr="00870A4C">
        <w:rPr>
          <w:rFonts w:ascii="Arial" w:hAnsi="Arial" w:cs="Arial"/>
          <w:sz w:val="22"/>
          <w:szCs w:val="22"/>
        </w:rPr>
        <w:lastRenderedPageBreak/>
        <w:t xml:space="preserve">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D0B3E1"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984A1A">
      <w:pPr>
        <w:pStyle w:val="ListParagraph"/>
        <w:numPr>
          <w:ilvl w:val="0"/>
          <w:numId w:val="7"/>
        </w:numPr>
        <w:snapToGrid w:val="0"/>
        <w:spacing w:after="24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2016;92:160</w:t>
      </w:r>
      <w:proofErr w:type="gramEnd"/>
      <w:r w:rsidRPr="001960CB">
        <w:rPr>
          <w:rFonts w:ascii="Arial" w:hAnsi="Arial" w:cs="Arial"/>
          <w:sz w:val="22"/>
          <w:szCs w:val="22"/>
        </w:rPr>
        <w:t>-168. PMCID:  PMC5065737.</w:t>
      </w:r>
    </w:p>
    <w:p w14:paraId="778D4D15" w14:textId="71B0773E" w:rsidR="00FD6B02" w:rsidRPr="001960CB"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633CFB">
        <w:rPr>
          <w:rFonts w:ascii="Arial" w:hAnsi="Arial" w:cs="Arial"/>
          <w:sz w:val="22"/>
          <w:szCs w:val="22"/>
        </w:rPr>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proofErr w:type="gramStart"/>
      <w:r w:rsidR="003B68C8" w:rsidRPr="003B68C8">
        <w:rPr>
          <w:rFonts w:ascii="Arial" w:hAnsi="Arial" w:cs="Arial"/>
          <w:sz w:val="22"/>
          <w:szCs w:val="22"/>
        </w:rPr>
        <w:t>Nov;104:117</w:t>
      </w:r>
      <w:proofErr w:type="gramEnd"/>
      <w:r w:rsidR="003B68C8" w:rsidRPr="003B68C8">
        <w:rPr>
          <w:rFonts w:ascii="Arial" w:hAnsi="Arial" w:cs="Arial"/>
          <w:sz w:val="22"/>
          <w:szCs w:val="22"/>
        </w:rPr>
        <w:t xml:space="preserve">-119.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3B68C8">
      <w:pPr>
        <w:pStyle w:val="ListParagraph"/>
        <w:numPr>
          <w:ilvl w:val="0"/>
          <w:numId w:val="7"/>
        </w:numPr>
        <w:snapToGrid w:val="0"/>
        <w:spacing w:after="24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w:t>
      </w:r>
      <w:r w:rsidRPr="00092EAA">
        <w:rPr>
          <w:rFonts w:ascii="Arial" w:hAnsi="Arial" w:cs="Arial"/>
          <w:sz w:val="22"/>
          <w:szCs w:val="22"/>
        </w:rPr>
        <w:lastRenderedPageBreak/>
        <w:t xml:space="preserve">"Frequency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364E0F" w:rsidRPr="00092EAA">
        <w:fldChar w:fldCharType="begin"/>
      </w:r>
      <w:r w:rsidR="00364E0F" w:rsidRPr="00092EAA">
        <w:instrText xml:space="preserve"> HYPERLINK "https://www.ncbi.nlm.nih.gov/pubmed/?term=Doogan%20NJ%5BAuthor%5D&amp;cauthor=true&amp;cauthor_uid=28470547" </w:instrText>
      </w:r>
      <w:r w:rsidR="00364E0F" w:rsidRPr="00092EAA">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364E0F" w:rsidRPr="00092EAA">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w:t>
      </w:r>
      <w:proofErr w:type="gramStart"/>
      <w:r w:rsidRPr="00092EAA">
        <w:rPr>
          <w:rFonts w:ascii="Arial" w:hAnsi="Arial" w:cs="Arial"/>
          <w:sz w:val="22"/>
          <w:szCs w:val="22"/>
        </w:rPr>
        <w:t>):e</w:t>
      </w:r>
      <w:proofErr w:type="gramEnd"/>
      <w:r w:rsidRPr="00092EAA">
        <w:rPr>
          <w:rFonts w:ascii="Arial" w:hAnsi="Arial" w:cs="Arial"/>
          <w:sz w:val="22"/>
          <w:szCs w:val="22"/>
        </w:rPr>
        <w:t xml:space="preserve">196. </w:t>
      </w:r>
      <w:r w:rsidR="000969B1" w:rsidRPr="00092EAA">
        <w:rPr>
          <w:rFonts w:ascii="Arial" w:hAnsi="Arial" w:cs="Arial"/>
          <w:sz w:val="22"/>
          <w:szCs w:val="22"/>
        </w:rPr>
        <w:t>PMCID: PMC5480010</w:t>
      </w:r>
    </w:p>
    <w:p w14:paraId="347FE4A9" w14:textId="360A8ACE" w:rsidR="00FD6B02" w:rsidRPr="00092EAA" w:rsidRDefault="00FD6B02"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lastRenderedPageBreak/>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3B68C8">
      <w:pPr>
        <w:pStyle w:val="ListParagraph"/>
        <w:numPr>
          <w:ilvl w:val="0"/>
          <w:numId w:val="7"/>
        </w:numPr>
        <w:snapToGrid w:val="0"/>
        <w:spacing w:after="24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092EAA" w:rsidRDefault="00033CEC"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4382EC54" w14:textId="15CE0B16" w:rsidR="008644AC" w:rsidRPr="00092EAA" w:rsidRDefault="008644AC"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Nov;104:100</w:t>
      </w:r>
      <w:proofErr w:type="gramEnd"/>
      <w:r w:rsidR="001253EA" w:rsidRPr="00092EAA">
        <w:rPr>
          <w:rFonts w:ascii="Arial" w:hAnsi="Arial" w:cs="Arial"/>
          <w:sz w:val="22"/>
          <w:szCs w:val="22"/>
        </w:rPr>
        <w:t xml:space="preserve">-116.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Nov;104:124</w:t>
      </w:r>
      <w:proofErr w:type="gramEnd"/>
      <w:r w:rsidR="001253EA" w:rsidRPr="00092EAA">
        <w:rPr>
          <w:rFonts w:ascii="Arial" w:hAnsi="Arial" w:cs="Arial"/>
          <w:sz w:val="22"/>
          <w:szCs w:val="22"/>
        </w:rPr>
        <w:t xml:space="preserve">-132.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Nov;104:57</w:t>
      </w:r>
      <w:proofErr w:type="gramEnd"/>
      <w:r w:rsidR="001253EA" w:rsidRPr="00092EAA">
        <w:rPr>
          <w:rFonts w:ascii="Arial" w:hAnsi="Arial" w:cs="Arial"/>
          <w:sz w:val="22"/>
          <w:szCs w:val="22"/>
        </w:rPr>
        <w:t xml:space="preserve">-62.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proofErr w:type="gramStart"/>
      <w:r w:rsidR="001253EA" w:rsidRPr="00092EAA">
        <w:rPr>
          <w:rFonts w:ascii="Arial" w:hAnsi="Arial" w:cs="Arial"/>
          <w:sz w:val="22"/>
          <w:szCs w:val="22"/>
        </w:rPr>
        <w:t>Nov;104:50</w:t>
      </w:r>
      <w:proofErr w:type="gramEnd"/>
      <w:r w:rsidR="001253EA" w:rsidRPr="00092EAA">
        <w:rPr>
          <w:rFonts w:ascii="Arial" w:hAnsi="Arial" w:cs="Arial"/>
          <w:sz w:val="22"/>
          <w:szCs w:val="22"/>
        </w:rPr>
        <w:t xml:space="preserve">-56.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3B68C8">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w:t>
      </w:r>
      <w:proofErr w:type="gramStart"/>
      <w:r w:rsidR="009F7287" w:rsidRPr="00092EAA">
        <w:rPr>
          <w:rFonts w:ascii="Arial" w:hAnsi="Arial" w:cs="Arial"/>
          <w:sz w:val="22"/>
          <w:szCs w:val="22"/>
        </w:rPr>
        <w:t>):e</w:t>
      </w:r>
      <w:proofErr w:type="gramEnd"/>
      <w:r w:rsidR="009F7287" w:rsidRPr="00092EAA">
        <w:rPr>
          <w:rFonts w:ascii="Arial" w:hAnsi="Arial" w:cs="Arial"/>
          <w:sz w:val="22"/>
          <w:szCs w:val="22"/>
        </w:rPr>
        <w:t xml:space="preserv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1253EA">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hAnsi="Arial" w:cs="Arial"/>
          <w:sz w:val="22"/>
          <w:szCs w:val="22"/>
        </w:rPr>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Nov;104:92</w:t>
      </w:r>
      <w:proofErr w:type="gramEnd"/>
      <w:r w:rsidR="001253EA" w:rsidRPr="00092EAA">
        <w:rPr>
          <w:rFonts w:ascii="Arial" w:hAnsi="Arial" w:cs="Arial"/>
          <w:sz w:val="22"/>
          <w:szCs w:val="22"/>
        </w:rPr>
        <w:t xml:space="preserve">-99.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1253EA">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Nov;104:133</w:t>
      </w:r>
      <w:proofErr w:type="gramEnd"/>
      <w:r w:rsidR="001253EA" w:rsidRPr="00092EAA">
        <w:rPr>
          <w:rFonts w:ascii="Arial" w:hAnsi="Arial" w:cs="Arial"/>
          <w:sz w:val="22"/>
          <w:szCs w:val="22"/>
        </w:rPr>
        <w:t xml:space="preserve">-136.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1253EA">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lastRenderedPageBreak/>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w:t>
      </w:r>
      <w:proofErr w:type="gramStart"/>
      <w:r w:rsidR="001253EA" w:rsidRPr="00092EAA">
        <w:rPr>
          <w:rFonts w:ascii="Arial" w:hAnsi="Arial" w:cs="Arial"/>
          <w:sz w:val="22"/>
          <w:szCs w:val="22"/>
        </w:rPr>
        <w:t>Nov;104:63</w:t>
      </w:r>
      <w:proofErr w:type="gramEnd"/>
      <w:r w:rsidR="001253EA" w:rsidRPr="00092EAA">
        <w:rPr>
          <w:rFonts w:ascii="Arial" w:hAnsi="Arial" w:cs="Arial"/>
          <w:sz w:val="22"/>
          <w:szCs w:val="22"/>
        </w:rPr>
        <w:t xml:space="preserve">-70.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1253EA">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984A1A">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984A1A">
      <w:pPr>
        <w:pStyle w:val="ListParagraph"/>
        <w:numPr>
          <w:ilvl w:val="0"/>
          <w:numId w:val="7"/>
        </w:numPr>
        <w:tabs>
          <w:tab w:val="left" w:pos="900"/>
          <w:tab w:val="left" w:pos="3510"/>
        </w:tabs>
        <w:snapToGrid w:val="0"/>
        <w:spacing w:after="24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984A1A">
      <w:pPr>
        <w:pStyle w:val="ListParagraph"/>
        <w:numPr>
          <w:ilvl w:val="0"/>
          <w:numId w:val="7"/>
        </w:numPr>
        <w:tabs>
          <w:tab w:val="left" w:pos="900"/>
        </w:tabs>
        <w:snapToGrid w:val="0"/>
        <w:spacing w:after="24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984A1A">
      <w:pPr>
        <w:pStyle w:val="ListParagraph"/>
        <w:numPr>
          <w:ilvl w:val="0"/>
          <w:numId w:val="7"/>
        </w:numPr>
        <w:tabs>
          <w:tab w:val="left" w:pos="900"/>
        </w:tabs>
        <w:snapToGrid w:val="0"/>
        <w:spacing w:after="24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984A1A">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984A1A">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984A1A">
      <w:pPr>
        <w:pStyle w:val="ListParagraph"/>
        <w:numPr>
          <w:ilvl w:val="0"/>
          <w:numId w:val="7"/>
        </w:numPr>
        <w:tabs>
          <w:tab w:val="left" w:pos="900"/>
        </w:tabs>
        <w:snapToGrid w:val="0"/>
        <w:spacing w:after="24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984A1A">
      <w:pPr>
        <w:pStyle w:val="ListParagraph"/>
        <w:numPr>
          <w:ilvl w:val="0"/>
          <w:numId w:val="7"/>
        </w:numPr>
        <w:tabs>
          <w:tab w:val="left" w:pos="900"/>
        </w:tabs>
        <w:snapToGrid w:val="0"/>
        <w:spacing w:after="24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984A1A">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w:t>
      </w:r>
      <w:proofErr w:type="gramStart"/>
      <w:r w:rsidRPr="00092EAA">
        <w:rPr>
          <w:rFonts w:ascii="Arial" w:eastAsia="Times New Roman" w:hAnsi="Arial" w:cs="Arial"/>
          <w:color w:val="212121"/>
          <w:sz w:val="22"/>
          <w:szCs w:val="22"/>
          <w:shd w:val="clear" w:color="auto" w:fill="FFFFFF"/>
        </w:rPr>
        <w:t>Nov;104:1</w:t>
      </w:r>
      <w:proofErr w:type="gramEnd"/>
      <w:r w:rsidRPr="00092EAA">
        <w:rPr>
          <w:rFonts w:ascii="Arial" w:eastAsia="Times New Roman" w:hAnsi="Arial" w:cs="Arial"/>
          <w:color w:val="212121"/>
          <w:sz w:val="22"/>
          <w:szCs w:val="22"/>
          <w:shd w:val="clear" w:color="auto" w:fill="FFFFFF"/>
        </w:rPr>
        <w:t xml:space="preserve">-3.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984A1A">
      <w:pPr>
        <w:pStyle w:val="ListParagraph"/>
        <w:numPr>
          <w:ilvl w:val="0"/>
          <w:numId w:val="7"/>
        </w:numPr>
        <w:tabs>
          <w:tab w:val="left" w:pos="900"/>
        </w:tabs>
        <w:snapToGrid w:val="0"/>
        <w:spacing w:after="24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984A1A">
      <w:pPr>
        <w:pStyle w:val="ListParagraph"/>
        <w:numPr>
          <w:ilvl w:val="0"/>
          <w:numId w:val="7"/>
        </w:numPr>
        <w:tabs>
          <w:tab w:val="left" w:pos="900"/>
        </w:tabs>
        <w:snapToGrid w:val="0"/>
        <w:spacing w:after="24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984A1A">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lastRenderedPageBreak/>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2F50147" w:rsidR="007A57E7" w:rsidRPr="00092EAA" w:rsidRDefault="00AA3469" w:rsidP="007E1496">
      <w:pPr>
        <w:pStyle w:val="ListParagraph"/>
        <w:numPr>
          <w:ilvl w:val="0"/>
          <w:numId w:val="7"/>
        </w:numPr>
        <w:snapToGrid w:val="0"/>
        <w:spacing w:after="24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 Nov 8.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7E1496">
      <w:pPr>
        <w:pStyle w:val="ListParagraph"/>
        <w:numPr>
          <w:ilvl w:val="0"/>
          <w:numId w:val="7"/>
        </w:numPr>
        <w:snapToGrid w:val="0"/>
        <w:spacing w:after="24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7E1496">
      <w:pPr>
        <w:pStyle w:val="ListParagraph"/>
        <w:numPr>
          <w:ilvl w:val="0"/>
          <w:numId w:val="7"/>
        </w:numPr>
        <w:snapToGrid w:val="0"/>
        <w:spacing w:after="24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xml:space="preserve">. 2017 Dec </w:t>
      </w:r>
      <w:proofErr w:type="gramStart"/>
      <w:r w:rsidR="007A57E7" w:rsidRPr="00092EAA">
        <w:rPr>
          <w:rFonts w:ascii="Arial" w:eastAsia="Times New Roman" w:hAnsi="Arial" w:cs="Arial"/>
          <w:color w:val="212121"/>
          <w:sz w:val="22"/>
          <w:szCs w:val="22"/>
          <w:shd w:val="clear" w:color="auto" w:fill="FFFFFF"/>
        </w:rPr>
        <w:t>9;79:39</w:t>
      </w:r>
      <w:proofErr w:type="gramEnd"/>
      <w:r w:rsidR="007A57E7" w:rsidRPr="00092EAA">
        <w:rPr>
          <w:rFonts w:ascii="Arial" w:eastAsia="Times New Roman" w:hAnsi="Arial" w:cs="Arial"/>
          <w:color w:val="212121"/>
          <w:sz w:val="22"/>
          <w:szCs w:val="22"/>
          <w:shd w:val="clear" w:color="auto" w:fill="FFFFFF"/>
        </w:rPr>
        <w:t>-44.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BB7C24">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3B68C8">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984A1A">
      <w:pPr>
        <w:pStyle w:val="ListParagraph"/>
        <w:numPr>
          <w:ilvl w:val="0"/>
          <w:numId w:val="7"/>
        </w:numPr>
        <w:snapToGrid w:val="0"/>
        <w:spacing w:after="24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BB7C24">
      <w:pPr>
        <w:pStyle w:val="ListParagraph"/>
        <w:numPr>
          <w:ilvl w:val="0"/>
          <w:numId w:val="7"/>
        </w:numPr>
        <w:snapToGrid w:val="0"/>
        <w:spacing w:after="24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984A1A">
      <w:pPr>
        <w:pStyle w:val="ListParagraph"/>
        <w:numPr>
          <w:ilvl w:val="0"/>
          <w:numId w:val="7"/>
        </w:numPr>
        <w:snapToGrid w:val="0"/>
        <w:spacing w:after="24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w:t>
      </w:r>
      <w:proofErr w:type="gramStart"/>
      <w:r>
        <w:rPr>
          <w:rFonts w:ascii="Arial" w:hAnsi="Arial" w:cs="Arial"/>
          <w:sz w:val="22"/>
          <w:szCs w:val="22"/>
        </w:rPr>
        <w:t>31;81:104</w:t>
      </w:r>
      <w:proofErr w:type="gramEnd"/>
      <w:r>
        <w:rPr>
          <w:rFonts w:ascii="Arial" w:hAnsi="Arial" w:cs="Arial"/>
          <w:sz w:val="22"/>
          <w:szCs w:val="22"/>
        </w:rPr>
        <w:t xml:space="preserve">-108.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984A1A">
      <w:pPr>
        <w:pStyle w:val="ListParagraph"/>
        <w:numPr>
          <w:ilvl w:val="0"/>
          <w:numId w:val="7"/>
        </w:numPr>
        <w:snapToGrid w:val="0"/>
        <w:spacing w:after="24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984A1A">
      <w:pPr>
        <w:pStyle w:val="ListParagraph"/>
        <w:numPr>
          <w:ilvl w:val="0"/>
          <w:numId w:val="7"/>
        </w:numPr>
        <w:snapToGrid w:val="0"/>
        <w:spacing w:after="24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984A1A">
      <w:pPr>
        <w:pStyle w:val="ListParagraph"/>
        <w:numPr>
          <w:ilvl w:val="0"/>
          <w:numId w:val="7"/>
        </w:numPr>
        <w:snapToGrid w:val="0"/>
        <w:spacing w:after="24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77777777" w:rsidR="00183F04" w:rsidRDefault="00FB0E49" w:rsidP="00183F04">
      <w:pPr>
        <w:pStyle w:val="ListParagraph"/>
        <w:numPr>
          <w:ilvl w:val="0"/>
          <w:numId w:val="7"/>
        </w:numPr>
        <w:snapToGrid w:val="0"/>
        <w:spacing w:after="240"/>
        <w:ind w:left="900" w:hanging="540"/>
        <w:contextualSpacing w:val="0"/>
        <w:rPr>
          <w:rFonts w:ascii="Arial" w:hAnsi="Arial" w:cs="Arial"/>
          <w:sz w:val="22"/>
          <w:szCs w:val="22"/>
        </w:rPr>
      </w:pPr>
      <w:r>
        <w:rPr>
          <w:rFonts w:ascii="Arial" w:hAnsi="Arial" w:cs="Arial"/>
          <w:sz w:val="22"/>
          <w:szCs w:val="22"/>
        </w:rPr>
        <w:t xml:space="preserve">Lopez AA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77777777" w:rsidR="00183F04" w:rsidRPr="00183F04" w:rsidRDefault="00183F04" w:rsidP="00484955">
      <w:pPr>
        <w:pStyle w:val="ListParagraph"/>
        <w:numPr>
          <w:ilvl w:val="0"/>
          <w:numId w:val="7"/>
        </w:numPr>
        <w:snapToGrid w:val="0"/>
        <w:spacing w:after="24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Smoking trends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484955">
      <w:pPr>
        <w:pStyle w:val="ListParagraph"/>
        <w:numPr>
          <w:ilvl w:val="0"/>
          <w:numId w:val="7"/>
        </w:numPr>
        <w:snapToGrid w:val="0"/>
        <w:spacing w:after="24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092EAA">
      <w:pPr>
        <w:pStyle w:val="ListParagraph"/>
        <w:numPr>
          <w:ilvl w:val="0"/>
          <w:numId w:val="7"/>
        </w:numPr>
        <w:snapToGrid w:val="0"/>
        <w:spacing w:after="24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092EAA">
      <w:pPr>
        <w:pStyle w:val="ListParagraph"/>
        <w:numPr>
          <w:ilvl w:val="0"/>
          <w:numId w:val="7"/>
        </w:numPr>
        <w:snapToGrid w:val="0"/>
        <w:spacing w:after="24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77777777" w:rsidR="00092EAA" w:rsidRPr="00092EAA" w:rsidRDefault="00092EAA" w:rsidP="00092EAA">
      <w:pPr>
        <w:pStyle w:val="ListParagraph"/>
        <w:numPr>
          <w:ilvl w:val="0"/>
          <w:numId w:val="7"/>
        </w:numPr>
        <w:snapToGrid w:val="0"/>
        <w:spacing w:after="24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Neuroimaging Differences in Nicotine Abstinent vs. Satiated Smokers.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77777777" w:rsidR="00552FD1" w:rsidRPr="00552FD1" w:rsidRDefault="00092EAA" w:rsidP="00552FD1">
      <w:pPr>
        <w:pStyle w:val="ListParagraph"/>
        <w:numPr>
          <w:ilvl w:val="0"/>
          <w:numId w:val="7"/>
        </w:numPr>
        <w:snapToGrid w:val="0"/>
        <w:spacing w:after="24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Cigarette use in Young Adult Smokers with Severe Mental Illnesses.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D75A6E">
      <w:pPr>
        <w:pStyle w:val="ListParagraph"/>
        <w:numPr>
          <w:ilvl w:val="0"/>
          <w:numId w:val="7"/>
        </w:numPr>
        <w:snapToGrid w:val="0"/>
        <w:spacing w:after="24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4664BAE9" w14:textId="7EA01909" w:rsidR="00D75A6E" w:rsidRPr="00D75A6E" w:rsidRDefault="00D75A6E" w:rsidP="00D75A6E">
      <w:pPr>
        <w:pStyle w:val="ListParagraph"/>
        <w:numPr>
          <w:ilvl w:val="0"/>
          <w:numId w:val="7"/>
        </w:numPr>
        <w:snapToGrid w:val="0"/>
        <w:spacing w:after="240"/>
        <w:ind w:left="900" w:hanging="540"/>
        <w:contextualSpacing w:val="0"/>
        <w:rPr>
          <w:rFonts w:ascii="Arial" w:hAnsi="Arial" w:cs="Arial"/>
          <w:sz w:val="22"/>
          <w:szCs w:val="22"/>
        </w:rPr>
      </w:pPr>
      <w:r w:rsidRPr="00D75A6E">
        <w:rPr>
          <w:rFonts w:ascii="Arial" w:eastAsia="Times New Roman" w:hAnsi="Arial" w:cs="Arial"/>
          <w:bCs/>
          <w:color w:val="000000"/>
          <w:sz w:val="22"/>
          <w:szCs w:val="22"/>
        </w:rPr>
        <w:t>Ades PA</w:t>
      </w:r>
      <w:r w:rsidRPr="00D75A6E">
        <w:rPr>
          <w:rFonts w:ascii="Arial" w:eastAsia="Times New Roman" w:hAnsi="Arial" w:cs="Arial"/>
          <w:color w:val="000000"/>
          <w:sz w:val="22"/>
          <w:szCs w:val="22"/>
        </w:rPr>
        <w:t xml:space="preserve">, Gaalema DE.  Geographic Variations in Cardiac Rehabilitation Use: Regional Variations in Medical Care or </w:t>
      </w:r>
      <w:proofErr w:type="gramStart"/>
      <w:r w:rsidRPr="00D75A6E">
        <w:rPr>
          <w:rFonts w:ascii="Arial" w:eastAsia="Times New Roman" w:hAnsi="Arial" w:cs="Arial"/>
          <w:color w:val="000000"/>
          <w:sz w:val="22"/>
          <w:szCs w:val="22"/>
        </w:rPr>
        <w:t>in Patient</w:t>
      </w:r>
      <w:proofErr w:type="gramEnd"/>
      <w:r w:rsidRPr="00D75A6E">
        <w:rPr>
          <w:rFonts w:ascii="Arial" w:eastAsia="Times New Roman" w:hAnsi="Arial" w:cs="Arial"/>
          <w:color w:val="000000"/>
          <w:sz w:val="22"/>
          <w:szCs w:val="22"/>
        </w:rPr>
        <w:t xml:space="preserve"> Behaviors?  Circulation. 2018 May 1;137(18):1909-1911. </w:t>
      </w:r>
      <w:proofErr w:type="spellStart"/>
      <w:r w:rsidRPr="00D75A6E">
        <w:rPr>
          <w:rFonts w:ascii="Arial" w:eastAsia="Times New Roman" w:hAnsi="Arial" w:cs="Arial"/>
          <w:color w:val="000000"/>
          <w:sz w:val="22"/>
          <w:szCs w:val="22"/>
        </w:rPr>
        <w:t>doi</w:t>
      </w:r>
      <w:proofErr w:type="spellEnd"/>
      <w:r w:rsidRPr="00D75A6E">
        <w:rPr>
          <w:rFonts w:ascii="Arial" w:eastAsia="Times New Roman" w:hAnsi="Arial" w:cs="Arial"/>
          <w:color w:val="000000"/>
          <w:sz w:val="22"/>
          <w:szCs w:val="22"/>
        </w:rPr>
        <w:t>: 10.1161/CIRCULATIONAHA.  PMID: 29712695</w:t>
      </w:r>
      <w:bookmarkStart w:id="0" w:name="_GoBack"/>
      <w:bookmarkEnd w:id="0"/>
    </w:p>
    <w:sectPr w:rsidR="00D75A6E" w:rsidRPr="00D75A6E" w:rsidSect="004D0732">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E5C8" w14:textId="77777777" w:rsidR="00BC6D6A" w:rsidRDefault="00BC6D6A" w:rsidP="00F51115">
      <w:r>
        <w:separator/>
      </w:r>
    </w:p>
  </w:endnote>
  <w:endnote w:type="continuationSeparator" w:id="0">
    <w:p w14:paraId="43CB6F42" w14:textId="77777777" w:rsidR="00BC6D6A" w:rsidRDefault="00BC6D6A"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356C2" w14:textId="77777777" w:rsidR="00BC6D6A" w:rsidRDefault="00BC6D6A" w:rsidP="00F51115">
      <w:r>
        <w:separator/>
      </w:r>
    </w:p>
  </w:footnote>
  <w:footnote w:type="continuationSeparator" w:id="0">
    <w:p w14:paraId="0F572DCA" w14:textId="77777777" w:rsidR="00BC6D6A" w:rsidRDefault="00BC6D6A"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1D8D4415" w:rsidR="00977F78" w:rsidRDefault="00977F78" w:rsidP="00F51115">
    <w:pPr>
      <w:pStyle w:val="Header"/>
      <w:jc w:val="center"/>
    </w:pPr>
    <w:r>
      <w:t>C</w:t>
    </w:r>
    <w:r w:rsidR="007613AC">
      <w:t>OBRE PUBS Citing P20</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2210"/>
    <w:rsid w:val="00092EAA"/>
    <w:rsid w:val="00095E87"/>
    <w:rsid w:val="000969B1"/>
    <w:rsid w:val="000A3E64"/>
    <w:rsid w:val="000B7840"/>
    <w:rsid w:val="000C0CF2"/>
    <w:rsid w:val="000D7075"/>
    <w:rsid w:val="000F19FD"/>
    <w:rsid w:val="000F465D"/>
    <w:rsid w:val="0010675C"/>
    <w:rsid w:val="00110CCF"/>
    <w:rsid w:val="00115DB5"/>
    <w:rsid w:val="001253EA"/>
    <w:rsid w:val="0012685B"/>
    <w:rsid w:val="00135FF2"/>
    <w:rsid w:val="001364CA"/>
    <w:rsid w:val="00142BB6"/>
    <w:rsid w:val="00157081"/>
    <w:rsid w:val="00161AC3"/>
    <w:rsid w:val="0018352D"/>
    <w:rsid w:val="00183F04"/>
    <w:rsid w:val="001960CB"/>
    <w:rsid w:val="001961C5"/>
    <w:rsid w:val="001B3EF7"/>
    <w:rsid w:val="001C6E28"/>
    <w:rsid w:val="001D0FF1"/>
    <w:rsid w:val="001D490B"/>
    <w:rsid w:val="002143FE"/>
    <w:rsid w:val="002215C5"/>
    <w:rsid w:val="002271E4"/>
    <w:rsid w:val="002340EB"/>
    <w:rsid w:val="0023507B"/>
    <w:rsid w:val="00294A70"/>
    <w:rsid w:val="00296425"/>
    <w:rsid w:val="002A33A5"/>
    <w:rsid w:val="002C7B41"/>
    <w:rsid w:val="002F703A"/>
    <w:rsid w:val="00303BF8"/>
    <w:rsid w:val="003067F2"/>
    <w:rsid w:val="003159AD"/>
    <w:rsid w:val="00323205"/>
    <w:rsid w:val="0034418D"/>
    <w:rsid w:val="00363C85"/>
    <w:rsid w:val="00364E0F"/>
    <w:rsid w:val="00374148"/>
    <w:rsid w:val="00380063"/>
    <w:rsid w:val="00384A28"/>
    <w:rsid w:val="003A2E8C"/>
    <w:rsid w:val="003B02E2"/>
    <w:rsid w:val="003B13E9"/>
    <w:rsid w:val="003B332B"/>
    <w:rsid w:val="003B68C8"/>
    <w:rsid w:val="003D6ECB"/>
    <w:rsid w:val="003E374A"/>
    <w:rsid w:val="003F3906"/>
    <w:rsid w:val="003F4224"/>
    <w:rsid w:val="003F45E6"/>
    <w:rsid w:val="003F5409"/>
    <w:rsid w:val="00413D81"/>
    <w:rsid w:val="004160C0"/>
    <w:rsid w:val="00420649"/>
    <w:rsid w:val="00423BB8"/>
    <w:rsid w:val="00453F77"/>
    <w:rsid w:val="0045470C"/>
    <w:rsid w:val="00474E18"/>
    <w:rsid w:val="00477AC7"/>
    <w:rsid w:val="00480B96"/>
    <w:rsid w:val="004A120D"/>
    <w:rsid w:val="004A2AA9"/>
    <w:rsid w:val="004D0732"/>
    <w:rsid w:val="004D63EC"/>
    <w:rsid w:val="004E67EE"/>
    <w:rsid w:val="00504CD3"/>
    <w:rsid w:val="00512224"/>
    <w:rsid w:val="00521F7C"/>
    <w:rsid w:val="00552FD1"/>
    <w:rsid w:val="00553864"/>
    <w:rsid w:val="00554D26"/>
    <w:rsid w:val="00564A10"/>
    <w:rsid w:val="00575A6D"/>
    <w:rsid w:val="00584FBD"/>
    <w:rsid w:val="005A107B"/>
    <w:rsid w:val="005C6AAA"/>
    <w:rsid w:val="005C79EA"/>
    <w:rsid w:val="005D00F9"/>
    <w:rsid w:val="005D1901"/>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74D4"/>
    <w:rsid w:val="006A0FC4"/>
    <w:rsid w:val="006A7C60"/>
    <w:rsid w:val="006B39F2"/>
    <w:rsid w:val="006B6A49"/>
    <w:rsid w:val="006C0EE0"/>
    <w:rsid w:val="006C4D87"/>
    <w:rsid w:val="006D434A"/>
    <w:rsid w:val="006E21B2"/>
    <w:rsid w:val="00705EF9"/>
    <w:rsid w:val="00711420"/>
    <w:rsid w:val="007117BB"/>
    <w:rsid w:val="00714989"/>
    <w:rsid w:val="00717EE9"/>
    <w:rsid w:val="007247D6"/>
    <w:rsid w:val="00742D23"/>
    <w:rsid w:val="007613AC"/>
    <w:rsid w:val="007641FB"/>
    <w:rsid w:val="00764C56"/>
    <w:rsid w:val="0077047D"/>
    <w:rsid w:val="00783D43"/>
    <w:rsid w:val="0078445D"/>
    <w:rsid w:val="007958F4"/>
    <w:rsid w:val="007A57E7"/>
    <w:rsid w:val="007D4134"/>
    <w:rsid w:val="007E1496"/>
    <w:rsid w:val="00802DB9"/>
    <w:rsid w:val="008108FF"/>
    <w:rsid w:val="008215D7"/>
    <w:rsid w:val="00834951"/>
    <w:rsid w:val="00845831"/>
    <w:rsid w:val="008644AC"/>
    <w:rsid w:val="00870A4C"/>
    <w:rsid w:val="008761D7"/>
    <w:rsid w:val="008867E0"/>
    <w:rsid w:val="00887139"/>
    <w:rsid w:val="00893555"/>
    <w:rsid w:val="008A00DA"/>
    <w:rsid w:val="008A07E5"/>
    <w:rsid w:val="008A2154"/>
    <w:rsid w:val="008D4EA5"/>
    <w:rsid w:val="00904EA4"/>
    <w:rsid w:val="00912717"/>
    <w:rsid w:val="0092692B"/>
    <w:rsid w:val="009446EF"/>
    <w:rsid w:val="0094495A"/>
    <w:rsid w:val="00947941"/>
    <w:rsid w:val="00952E05"/>
    <w:rsid w:val="00977F78"/>
    <w:rsid w:val="00984A1A"/>
    <w:rsid w:val="009A43CE"/>
    <w:rsid w:val="009A62E9"/>
    <w:rsid w:val="009B6846"/>
    <w:rsid w:val="009C08CB"/>
    <w:rsid w:val="009C7C9B"/>
    <w:rsid w:val="009E7467"/>
    <w:rsid w:val="009F03BB"/>
    <w:rsid w:val="009F0F97"/>
    <w:rsid w:val="009F19CD"/>
    <w:rsid w:val="009F3607"/>
    <w:rsid w:val="009F7287"/>
    <w:rsid w:val="00A20333"/>
    <w:rsid w:val="00A33E50"/>
    <w:rsid w:val="00A51FB6"/>
    <w:rsid w:val="00A54C9D"/>
    <w:rsid w:val="00A62178"/>
    <w:rsid w:val="00A83566"/>
    <w:rsid w:val="00AA3469"/>
    <w:rsid w:val="00AB5664"/>
    <w:rsid w:val="00AC539B"/>
    <w:rsid w:val="00B0131A"/>
    <w:rsid w:val="00B061E5"/>
    <w:rsid w:val="00B300BB"/>
    <w:rsid w:val="00B34486"/>
    <w:rsid w:val="00B54767"/>
    <w:rsid w:val="00B5525A"/>
    <w:rsid w:val="00B60FD4"/>
    <w:rsid w:val="00B67229"/>
    <w:rsid w:val="00BA1DC2"/>
    <w:rsid w:val="00BB7C24"/>
    <w:rsid w:val="00BC0469"/>
    <w:rsid w:val="00BC32CA"/>
    <w:rsid w:val="00BC6D6A"/>
    <w:rsid w:val="00BD0251"/>
    <w:rsid w:val="00C23106"/>
    <w:rsid w:val="00C57C6F"/>
    <w:rsid w:val="00C6420D"/>
    <w:rsid w:val="00C64BE0"/>
    <w:rsid w:val="00C76CAF"/>
    <w:rsid w:val="00C90172"/>
    <w:rsid w:val="00CB772B"/>
    <w:rsid w:val="00CC0658"/>
    <w:rsid w:val="00CC64AE"/>
    <w:rsid w:val="00CD4066"/>
    <w:rsid w:val="00D03405"/>
    <w:rsid w:val="00D05A5C"/>
    <w:rsid w:val="00D11AF6"/>
    <w:rsid w:val="00D1698C"/>
    <w:rsid w:val="00D2772A"/>
    <w:rsid w:val="00D443D1"/>
    <w:rsid w:val="00D53BA0"/>
    <w:rsid w:val="00D53F39"/>
    <w:rsid w:val="00D70A1A"/>
    <w:rsid w:val="00D73081"/>
    <w:rsid w:val="00D75A6E"/>
    <w:rsid w:val="00D81EFB"/>
    <w:rsid w:val="00DE7ADC"/>
    <w:rsid w:val="00E00573"/>
    <w:rsid w:val="00E00E39"/>
    <w:rsid w:val="00E0318B"/>
    <w:rsid w:val="00E109BA"/>
    <w:rsid w:val="00E2033F"/>
    <w:rsid w:val="00E26F9B"/>
    <w:rsid w:val="00E34D03"/>
    <w:rsid w:val="00E50675"/>
    <w:rsid w:val="00E507F8"/>
    <w:rsid w:val="00E5460A"/>
    <w:rsid w:val="00E60FC2"/>
    <w:rsid w:val="00E63CC1"/>
    <w:rsid w:val="00E773CE"/>
    <w:rsid w:val="00EF6AE8"/>
    <w:rsid w:val="00F11FFE"/>
    <w:rsid w:val="00F1779E"/>
    <w:rsid w:val="00F33717"/>
    <w:rsid w:val="00F51115"/>
    <w:rsid w:val="00F52B74"/>
    <w:rsid w:val="00F52F58"/>
    <w:rsid w:val="00F5621B"/>
    <w:rsid w:val="00F6096D"/>
    <w:rsid w:val="00F623FB"/>
    <w:rsid w:val="00F77EC2"/>
    <w:rsid w:val="00FB0E49"/>
    <w:rsid w:val="00FB2237"/>
    <w:rsid w:val="00FC0A34"/>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2017-05-30T18:07:00Z</cp:lastPrinted>
  <dcterms:created xsi:type="dcterms:W3CDTF">2018-05-02T16:17:00Z</dcterms:created>
  <dcterms:modified xsi:type="dcterms:W3CDTF">2018-05-02T16:17:00Z</dcterms:modified>
</cp:coreProperties>
</file>